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00" w:lineRule="auto"/>
        <w:ind w:right="-88" w:rightChars="-42"/>
        <w:jc w:val="left"/>
        <w:rPr>
          <w:rFonts w:hint="eastAsia" w:ascii="仿宋" w:hAnsi="仿宋" w:eastAsia="仿宋" w:cs="仿宋"/>
          <w:color w:val="000000"/>
          <w:kern w:val="0"/>
          <w:sz w:val="28"/>
          <w:lang w:val="en-US" w:eastAsia="zh-CN"/>
        </w:rPr>
      </w:pPr>
      <w:r>
        <w:rPr>
          <w:rFonts w:hint="eastAsia" w:ascii="仿宋" w:hAnsi="仿宋" w:eastAsia="仿宋" w:cs="仿宋"/>
          <w:b/>
          <w:bCs/>
          <w:color w:val="000000"/>
          <w:kern w:val="0"/>
          <w:sz w:val="44"/>
          <w:szCs w:val="44"/>
          <w:lang w:val="en-US" w:eastAsia="zh-CN"/>
        </w:rPr>
        <w:t>附件</w:t>
      </w:r>
    </w:p>
    <w:p>
      <w:pPr>
        <w:widowControl/>
        <w:snapToGrid w:val="0"/>
        <w:spacing w:line="300" w:lineRule="auto"/>
        <w:ind w:right="-88" w:rightChars="-42" w:firstLine="553" w:firstLineChars="173"/>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1、入库说明：入库专业承包公司确定后，我公司对整个入库评选过程及结果享有解释权。未入库专业承包公司不得向入库评选委员会组成人员或其他有关人员索问入库过程的情况和材料。</w:t>
      </w:r>
    </w:p>
    <w:p>
      <w:pPr>
        <w:widowControl/>
        <w:snapToGrid w:val="0"/>
        <w:spacing w:before="156" w:beforeLines="50" w:line="300" w:lineRule="auto"/>
        <w:ind w:firstLine="640" w:firstLineChars="200"/>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2、评分办法：从资质等级、履约能力、过往工程施工业绩等方面进行综合评比。</w:t>
      </w:r>
    </w:p>
    <w:p>
      <w:pPr>
        <w:widowControl/>
        <w:snapToGrid w:val="0"/>
        <w:spacing w:before="156" w:beforeLines="50" w:line="300" w:lineRule="auto"/>
        <w:jc w:val="center"/>
      </w:pPr>
      <w:bookmarkStart w:id="0" w:name="_GoBack"/>
      <w:bookmarkEnd w:id="0"/>
      <w:r>
        <w:rPr>
          <w:rFonts w:hint="eastAsia" w:ascii="仿宋" w:hAnsi="仿宋" w:eastAsia="仿宋" w:cs="仿宋"/>
          <w:b/>
          <w:bCs/>
          <w:color w:val="000000"/>
          <w:kern w:val="0"/>
          <w:sz w:val="28"/>
          <w:szCs w:val="28"/>
        </w:rPr>
        <w:t>专业承包公司入库打分细则：</w:t>
      </w:r>
    </w:p>
    <w:tbl>
      <w:tblPr>
        <w:tblStyle w:val="5"/>
        <w:tblW w:w="0" w:type="auto"/>
        <w:jc w:val="center"/>
        <w:tblLayout w:type="fixed"/>
        <w:tblCellMar>
          <w:top w:w="0" w:type="dxa"/>
          <w:left w:w="108" w:type="dxa"/>
          <w:bottom w:w="0" w:type="dxa"/>
          <w:right w:w="108" w:type="dxa"/>
        </w:tblCellMar>
      </w:tblPr>
      <w:tblGrid>
        <w:gridCol w:w="639"/>
        <w:gridCol w:w="1843"/>
        <w:gridCol w:w="1229"/>
        <w:gridCol w:w="869"/>
        <w:gridCol w:w="4200"/>
      </w:tblGrid>
      <w:tr>
        <w:tblPrEx>
          <w:tblCellMar>
            <w:top w:w="0" w:type="dxa"/>
            <w:left w:w="108" w:type="dxa"/>
            <w:bottom w:w="0" w:type="dxa"/>
            <w:right w:w="108" w:type="dxa"/>
          </w:tblCellMar>
        </w:tblPrEx>
        <w:trPr>
          <w:trHeight w:val="600" w:hRule="atLeast"/>
          <w:jc w:val="center"/>
        </w:trPr>
        <w:tc>
          <w:tcPr>
            <w:tcW w:w="8780" w:type="dxa"/>
            <w:gridSpan w:val="5"/>
            <w:tcBorders>
              <w:top w:val="nil"/>
              <w:left w:val="nil"/>
              <w:bottom w:val="nil"/>
              <w:right w:val="nil"/>
            </w:tcBorders>
            <w:shd w:val="clear" w:color="auto" w:fill="auto"/>
            <w:noWrap/>
            <w:vAlign w:val="center"/>
          </w:tcPr>
          <w:p>
            <w:pPr>
              <w:widowControl/>
              <w:jc w:val="center"/>
              <w:textAlignment w:val="center"/>
              <w:rPr>
                <w:rFonts w:ascii="楷体_GB2312" w:hAnsi="宋体" w:eastAsia="楷体_GB2312" w:cs="楷体_GB2312"/>
                <w:b/>
                <w:bCs/>
                <w:color w:val="000000"/>
                <w:sz w:val="40"/>
                <w:szCs w:val="40"/>
              </w:rPr>
            </w:pPr>
            <w:r>
              <w:rPr>
                <w:rFonts w:ascii="楷体_GB2312" w:hAnsi="宋体" w:eastAsia="楷体_GB2312" w:cs="楷体_GB2312"/>
                <w:b/>
                <w:bCs/>
                <w:color w:val="000000"/>
                <w:kern w:val="0"/>
                <w:sz w:val="40"/>
                <w:szCs w:val="40"/>
                <w:lang w:bidi="ar"/>
              </w:rPr>
              <w:t>商务技术评分表</w:t>
            </w:r>
          </w:p>
        </w:tc>
      </w:tr>
      <w:tr>
        <w:tblPrEx>
          <w:tblCellMar>
            <w:top w:w="0" w:type="dxa"/>
            <w:left w:w="108" w:type="dxa"/>
            <w:bottom w:w="0" w:type="dxa"/>
            <w:right w:w="108" w:type="dxa"/>
          </w:tblCellMar>
        </w:tblPrEx>
        <w:trPr>
          <w:trHeight w:val="510" w:hRule="atLeast"/>
          <w:jc w:val="center"/>
        </w:trPr>
        <w:tc>
          <w:tcPr>
            <w:tcW w:w="8780" w:type="dxa"/>
            <w:gridSpan w:val="5"/>
            <w:tcBorders>
              <w:top w:val="nil"/>
              <w:left w:val="nil"/>
              <w:bottom w:val="single" w:color="000000" w:sz="4" w:space="0"/>
              <w:right w:val="nil"/>
            </w:tcBorders>
            <w:shd w:val="clear" w:color="auto" w:fill="auto"/>
            <w:noWrap/>
            <w:vAlign w:val="center"/>
          </w:tcPr>
          <w:p>
            <w:pPr>
              <w:widowControl/>
              <w:jc w:val="left"/>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 xml:space="preserve">项目名称：                                          </w:t>
            </w:r>
            <w:r>
              <w:rPr>
                <w:rFonts w:hint="eastAsia" w:ascii="楷体_GB2312" w:hAnsi="宋体" w:eastAsia="楷体_GB2312" w:cs="楷体_GB2312"/>
                <w:color w:val="000000"/>
                <w:kern w:val="0"/>
                <w:sz w:val="20"/>
                <w:szCs w:val="20"/>
                <w:lang w:bidi="ar"/>
              </w:rPr>
              <w:t>入库</w:t>
            </w:r>
            <w:r>
              <w:rPr>
                <w:rFonts w:ascii="楷体_GB2312" w:hAnsi="宋体" w:eastAsia="楷体_GB2312" w:cs="楷体_GB2312"/>
                <w:color w:val="000000"/>
                <w:kern w:val="0"/>
                <w:sz w:val="20"/>
                <w:szCs w:val="20"/>
                <w:lang w:bidi="ar"/>
              </w:rPr>
              <w:t>单位名称：</w:t>
            </w:r>
          </w:p>
        </w:tc>
      </w:tr>
      <w:tr>
        <w:tblPrEx>
          <w:tblCellMar>
            <w:top w:w="0" w:type="dxa"/>
            <w:left w:w="108" w:type="dxa"/>
            <w:bottom w:w="0" w:type="dxa"/>
            <w:right w:w="108" w:type="dxa"/>
          </w:tblCellMar>
        </w:tblPrEx>
        <w:trPr>
          <w:trHeight w:val="600" w:hRule="atLeast"/>
          <w:jc w:val="center"/>
        </w:trPr>
        <w:tc>
          <w:tcPr>
            <w:tcW w:w="639"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序号</w:t>
            </w:r>
          </w:p>
        </w:tc>
        <w:tc>
          <w:tcPr>
            <w:tcW w:w="1843"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评审项目</w:t>
            </w:r>
          </w:p>
        </w:tc>
        <w:tc>
          <w:tcPr>
            <w:tcW w:w="1229" w:type="dxa"/>
            <w:tcBorders>
              <w:top w:val="single" w:color="000000" w:sz="4" w:space="0"/>
              <w:left w:val="nil"/>
              <w:bottom w:val="nil"/>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分值范围</w:t>
            </w:r>
          </w:p>
        </w:tc>
        <w:tc>
          <w:tcPr>
            <w:tcW w:w="869"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得分</w:t>
            </w:r>
          </w:p>
        </w:tc>
        <w:tc>
          <w:tcPr>
            <w:tcW w:w="4200"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备注</w:t>
            </w:r>
          </w:p>
        </w:tc>
      </w:tr>
      <w:tr>
        <w:tblPrEx>
          <w:tblCellMar>
            <w:top w:w="0" w:type="dxa"/>
            <w:left w:w="108" w:type="dxa"/>
            <w:bottom w:w="0" w:type="dxa"/>
            <w:right w:w="108" w:type="dxa"/>
          </w:tblCellMar>
        </w:tblPrEx>
        <w:trPr>
          <w:trHeight w:val="96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1</w:t>
            </w:r>
          </w:p>
        </w:tc>
        <w:tc>
          <w:tcPr>
            <w:tcW w:w="1843"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资质等级</w:t>
            </w:r>
          </w:p>
        </w:tc>
        <w:tc>
          <w:tcPr>
            <w:tcW w:w="122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0～</w:t>
            </w:r>
            <w:r>
              <w:rPr>
                <w:rFonts w:hint="eastAsia" w:ascii="楷体_GB2312" w:hAnsi="宋体" w:eastAsia="楷体_GB2312" w:cs="楷体_GB2312"/>
                <w:color w:val="000000"/>
                <w:kern w:val="0"/>
                <w:sz w:val="20"/>
                <w:szCs w:val="20"/>
                <w:lang w:bidi="ar"/>
              </w:rPr>
              <w:t>10</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具有</w:t>
            </w:r>
            <w:r>
              <w:rPr>
                <w:rFonts w:ascii="楷体_GB2312" w:hAnsi="宋体" w:eastAsia="楷体_GB2312" w:cs="楷体_GB2312"/>
                <w:color w:val="000000"/>
                <w:kern w:val="0"/>
                <w:sz w:val="20"/>
                <w:szCs w:val="20"/>
                <w:lang w:bidi="ar"/>
              </w:rPr>
              <w:t>专业</w:t>
            </w:r>
            <w:r>
              <w:rPr>
                <w:rFonts w:hint="eastAsia" w:ascii="楷体_GB2312" w:hAnsi="宋体" w:eastAsia="楷体_GB2312" w:cs="楷体_GB2312"/>
                <w:color w:val="000000"/>
                <w:kern w:val="0"/>
                <w:sz w:val="20"/>
                <w:szCs w:val="20"/>
                <w:lang w:bidi="ar"/>
              </w:rPr>
              <w:t>承包</w:t>
            </w:r>
            <w:r>
              <w:rPr>
                <w:rFonts w:ascii="楷体_GB2312" w:hAnsi="宋体" w:eastAsia="楷体_GB2312" w:cs="楷体_GB2312"/>
                <w:color w:val="000000"/>
                <w:kern w:val="0"/>
                <w:sz w:val="20"/>
                <w:szCs w:val="20"/>
                <w:lang w:bidi="ar"/>
              </w:rPr>
              <w:t>资质一级</w:t>
            </w:r>
            <w:r>
              <w:rPr>
                <w:rFonts w:hint="eastAsia" w:ascii="楷体_GB2312" w:hAnsi="宋体" w:eastAsia="楷体_GB2312" w:cs="楷体_GB2312"/>
                <w:color w:val="000000"/>
                <w:kern w:val="0"/>
                <w:sz w:val="20"/>
                <w:szCs w:val="20"/>
                <w:lang w:bidi="ar"/>
              </w:rPr>
              <w:t>的</w:t>
            </w:r>
            <w:r>
              <w:rPr>
                <w:rFonts w:ascii="楷体_GB2312" w:hAnsi="宋体" w:eastAsia="楷体_GB2312" w:cs="楷体_GB2312"/>
                <w:color w:val="000000"/>
                <w:kern w:val="0"/>
                <w:sz w:val="20"/>
                <w:szCs w:val="20"/>
                <w:lang w:bidi="ar"/>
              </w:rPr>
              <w:t>得</w:t>
            </w:r>
            <w:r>
              <w:rPr>
                <w:rFonts w:hint="eastAsia" w:ascii="楷体_GB2312" w:hAnsi="宋体" w:eastAsia="楷体_GB2312" w:cs="楷体_GB2312"/>
                <w:color w:val="000000"/>
                <w:kern w:val="0"/>
                <w:sz w:val="20"/>
                <w:szCs w:val="20"/>
                <w:lang w:bidi="ar"/>
              </w:rPr>
              <w:t>10</w:t>
            </w:r>
            <w:r>
              <w:rPr>
                <w:rFonts w:ascii="楷体_GB2312" w:hAnsi="宋体" w:eastAsia="楷体_GB2312" w:cs="楷体_GB2312"/>
                <w:color w:val="000000"/>
                <w:kern w:val="0"/>
                <w:sz w:val="20"/>
                <w:szCs w:val="20"/>
                <w:lang w:bidi="ar"/>
              </w:rPr>
              <w:t>分，二级得</w:t>
            </w:r>
            <w:r>
              <w:rPr>
                <w:rFonts w:hint="eastAsia" w:ascii="楷体_GB2312" w:hAnsi="宋体" w:eastAsia="楷体_GB2312" w:cs="楷体_GB2312"/>
                <w:color w:val="000000"/>
                <w:kern w:val="0"/>
                <w:sz w:val="20"/>
                <w:szCs w:val="20"/>
                <w:lang w:bidi="ar"/>
              </w:rPr>
              <w:t>7</w:t>
            </w:r>
            <w:r>
              <w:rPr>
                <w:rFonts w:ascii="楷体_GB2312" w:hAnsi="宋体" w:eastAsia="楷体_GB2312" w:cs="楷体_GB2312"/>
                <w:color w:val="000000"/>
                <w:kern w:val="0"/>
                <w:sz w:val="20"/>
                <w:szCs w:val="20"/>
                <w:lang w:bidi="ar"/>
              </w:rPr>
              <w:t>分，三级得</w:t>
            </w:r>
            <w:r>
              <w:rPr>
                <w:rFonts w:hint="eastAsia" w:ascii="楷体_GB2312" w:hAnsi="宋体" w:eastAsia="楷体_GB2312" w:cs="楷体_GB2312"/>
                <w:color w:val="000000"/>
                <w:kern w:val="0"/>
                <w:sz w:val="20"/>
                <w:szCs w:val="20"/>
                <w:lang w:bidi="ar"/>
              </w:rPr>
              <w:t>5</w:t>
            </w:r>
            <w:r>
              <w:rPr>
                <w:rFonts w:ascii="楷体_GB2312" w:hAnsi="宋体" w:eastAsia="楷体_GB2312" w:cs="楷体_GB2312"/>
                <w:color w:val="000000"/>
                <w:kern w:val="0"/>
                <w:sz w:val="20"/>
                <w:szCs w:val="20"/>
                <w:lang w:bidi="ar"/>
              </w:rPr>
              <w:t>分</w:t>
            </w:r>
            <w:r>
              <w:rPr>
                <w:rFonts w:hint="eastAsia" w:ascii="楷体_GB2312" w:hAnsi="宋体" w:eastAsia="楷体_GB2312" w:cs="楷体_GB2312"/>
                <w:color w:val="000000"/>
                <w:kern w:val="0"/>
                <w:sz w:val="20"/>
                <w:szCs w:val="20"/>
                <w:lang w:bidi="ar"/>
              </w:rPr>
              <w:t>。（按最高资质等级评分）</w:t>
            </w:r>
          </w:p>
          <w:p>
            <w:pPr>
              <w:widowControl/>
              <w:jc w:val="left"/>
              <w:textAlignment w:val="center"/>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sz w:val="20"/>
                <w:szCs w:val="20"/>
              </w:rPr>
              <w:t>注：符合条件的任一专业承包资质满足上述资质等级即可，提供资质证书复印件。</w:t>
            </w:r>
          </w:p>
        </w:tc>
      </w:tr>
      <w:tr>
        <w:tblPrEx>
          <w:tblCellMar>
            <w:top w:w="0" w:type="dxa"/>
            <w:left w:w="108" w:type="dxa"/>
            <w:bottom w:w="0" w:type="dxa"/>
            <w:right w:w="108" w:type="dxa"/>
          </w:tblCellMar>
        </w:tblPrEx>
        <w:trPr>
          <w:trHeight w:val="54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2</w:t>
            </w:r>
          </w:p>
        </w:tc>
        <w:tc>
          <w:tcPr>
            <w:tcW w:w="1843"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履约能力</w:t>
            </w:r>
          </w:p>
        </w:tc>
        <w:tc>
          <w:tcPr>
            <w:tcW w:w="122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0～</w:t>
            </w:r>
            <w:r>
              <w:rPr>
                <w:rFonts w:hint="eastAsia" w:ascii="楷体_GB2312" w:hAnsi="宋体" w:eastAsia="楷体_GB2312" w:cs="楷体_GB2312"/>
                <w:color w:val="000000"/>
                <w:kern w:val="0"/>
                <w:sz w:val="20"/>
                <w:szCs w:val="20"/>
                <w:lang w:bidi="ar"/>
              </w:rPr>
              <w:t>16</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sz w:val="20"/>
                <w:szCs w:val="20"/>
              </w:rPr>
              <w:t>（1）2019年1月1日至今，</w:t>
            </w:r>
            <w:r>
              <w:rPr>
                <w:rFonts w:hint="eastAsia" w:ascii="楷体_GB2312" w:hAnsi="宋体" w:eastAsia="楷体_GB2312" w:cs="楷体_GB2312"/>
                <w:color w:val="000000"/>
                <w:kern w:val="0"/>
                <w:sz w:val="20"/>
                <w:szCs w:val="20"/>
                <w:lang w:bidi="ar"/>
              </w:rPr>
              <w:t>入库</w:t>
            </w:r>
            <w:r>
              <w:rPr>
                <w:rFonts w:ascii="楷体_GB2312" w:hAnsi="宋体" w:eastAsia="楷体_GB2312" w:cs="楷体_GB2312"/>
                <w:color w:val="000000"/>
                <w:kern w:val="0"/>
                <w:sz w:val="20"/>
                <w:szCs w:val="20"/>
                <w:lang w:bidi="ar"/>
              </w:rPr>
              <w:t>单位</w:t>
            </w:r>
            <w:r>
              <w:rPr>
                <w:rFonts w:hint="eastAsia" w:ascii="楷体_GB2312" w:hAnsi="宋体" w:eastAsia="楷体_GB2312" w:cs="楷体_GB2312"/>
                <w:color w:val="000000"/>
                <w:kern w:val="0"/>
                <w:sz w:val="20"/>
                <w:szCs w:val="20"/>
                <w:lang w:bidi="ar"/>
              </w:rPr>
              <w:t>承建或参建项目获得过地市级及以上优质奖项的（如：宿州市“金鸡杯”、安徽省“黄山杯”），每提供一个，得 2 分，满分6分。同一项目不重复计取。</w:t>
            </w:r>
          </w:p>
          <w:p>
            <w:pPr>
              <w:jc w:val="left"/>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注：提供表彰文件或荣誉证书等相关证明材料复印件。</w:t>
            </w:r>
          </w:p>
          <w:p>
            <w:pPr>
              <w:numPr>
                <w:ilvl w:val="0"/>
                <w:numId w:val="1"/>
              </w:numPr>
              <w:jc w:val="left"/>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入库</w:t>
            </w:r>
            <w:r>
              <w:rPr>
                <w:rFonts w:ascii="楷体_GB2312" w:hAnsi="宋体" w:eastAsia="楷体_GB2312" w:cs="楷体_GB2312"/>
                <w:color w:val="000000"/>
                <w:kern w:val="0"/>
                <w:sz w:val="20"/>
                <w:szCs w:val="20"/>
                <w:lang w:bidi="ar"/>
              </w:rPr>
              <w:t>单位</w:t>
            </w:r>
            <w:r>
              <w:rPr>
                <w:rFonts w:hint="eastAsia" w:ascii="楷体_GB2312" w:hAnsi="宋体" w:eastAsia="楷体_GB2312" w:cs="楷体_GB2312"/>
                <w:color w:val="000000"/>
                <w:kern w:val="0"/>
                <w:sz w:val="20"/>
                <w:szCs w:val="20"/>
                <w:lang w:bidi="ar"/>
              </w:rPr>
              <w:t>拟投入分包项目的人员中，具有中级工程师及以上职称或具有二级及以上注册建造师证书的，每提供一个证书，得1分，满分10分。同一人具有多个证书的，只计取一个。</w:t>
            </w:r>
          </w:p>
          <w:p>
            <w:pPr>
              <w:jc w:val="left"/>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注：提供人员证书及2022年1月至今入库单位为其缴纳的任意连续三个月的社保证明材料复印件。</w:t>
            </w:r>
          </w:p>
        </w:tc>
      </w:tr>
      <w:tr>
        <w:tblPrEx>
          <w:tblCellMar>
            <w:top w:w="0" w:type="dxa"/>
            <w:left w:w="108" w:type="dxa"/>
            <w:bottom w:w="0" w:type="dxa"/>
            <w:right w:w="108" w:type="dxa"/>
          </w:tblCellMar>
        </w:tblPrEx>
        <w:trPr>
          <w:trHeight w:val="54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3</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hint="eastAsia" w:ascii="楷体_GB2312" w:hAnsi="宋体" w:eastAsia="楷体_GB2312" w:cs="楷体_GB2312"/>
                <w:color w:val="000000"/>
                <w:kern w:val="0"/>
                <w:sz w:val="20"/>
                <w:szCs w:val="20"/>
                <w:lang w:bidi="ar"/>
              </w:rPr>
              <w:t>过往</w:t>
            </w:r>
            <w:r>
              <w:rPr>
                <w:rFonts w:ascii="楷体_GB2312" w:hAnsi="宋体" w:eastAsia="楷体_GB2312" w:cs="楷体_GB2312"/>
                <w:color w:val="000000"/>
                <w:kern w:val="0"/>
                <w:sz w:val="20"/>
                <w:szCs w:val="20"/>
                <w:lang w:bidi="ar"/>
              </w:rPr>
              <w:t>工程施工业绩</w:t>
            </w:r>
          </w:p>
        </w:tc>
        <w:tc>
          <w:tcPr>
            <w:tcW w:w="122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0～</w:t>
            </w:r>
            <w:r>
              <w:rPr>
                <w:rFonts w:hint="eastAsia" w:ascii="楷体_GB2312" w:hAnsi="宋体" w:eastAsia="楷体_GB2312" w:cs="楷体_GB2312"/>
                <w:color w:val="000000"/>
                <w:kern w:val="0"/>
                <w:sz w:val="20"/>
                <w:szCs w:val="20"/>
                <w:lang w:bidi="ar"/>
              </w:rPr>
              <w:t>24</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自2019年1月1日至今，每具有1个单个合同金额不小于200万元的专业分包业绩的，得3分，满分24分。提供业绩合同复印件。</w:t>
            </w:r>
          </w:p>
        </w:tc>
      </w:tr>
      <w:tr>
        <w:tblPrEx>
          <w:tblCellMar>
            <w:top w:w="0" w:type="dxa"/>
            <w:left w:w="108" w:type="dxa"/>
            <w:bottom w:w="0" w:type="dxa"/>
            <w:right w:w="108" w:type="dxa"/>
          </w:tblCellMar>
        </w:tblPrEx>
        <w:trPr>
          <w:trHeight w:val="54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4</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企业信誉度</w:t>
            </w:r>
          </w:p>
        </w:tc>
        <w:tc>
          <w:tcPr>
            <w:tcW w:w="122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0～</w:t>
            </w:r>
            <w:r>
              <w:rPr>
                <w:rFonts w:hint="eastAsia" w:ascii="楷体_GB2312" w:hAnsi="宋体" w:eastAsia="楷体_GB2312" w:cs="楷体_GB2312"/>
                <w:color w:val="000000"/>
                <w:kern w:val="0"/>
                <w:sz w:val="20"/>
                <w:szCs w:val="20"/>
                <w:lang w:bidi="ar"/>
              </w:rPr>
              <w:t>6</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2"/>
              </w:numPr>
              <w:jc w:val="left"/>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入库</w:t>
            </w:r>
            <w:r>
              <w:rPr>
                <w:rFonts w:ascii="楷体_GB2312" w:hAnsi="宋体" w:eastAsia="楷体_GB2312" w:cs="楷体_GB2312"/>
                <w:color w:val="000000"/>
                <w:kern w:val="0"/>
                <w:sz w:val="20"/>
                <w:szCs w:val="20"/>
                <w:lang w:bidi="ar"/>
              </w:rPr>
              <w:t>单位</w:t>
            </w:r>
            <w:r>
              <w:rPr>
                <w:rFonts w:hint="eastAsia" w:ascii="楷体_GB2312" w:hAnsi="宋体" w:eastAsia="楷体_GB2312" w:cs="楷体_GB2312"/>
                <w:color w:val="000000"/>
                <w:kern w:val="0"/>
                <w:sz w:val="20"/>
                <w:szCs w:val="20"/>
                <w:lang w:bidi="ar"/>
              </w:rPr>
              <w:t>如存在下列有效情形之一的，将直接否决其投标：</w:t>
            </w:r>
          </w:p>
          <w:p>
            <w:pPr>
              <w:jc w:val="left"/>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①被人民法院列入失信被执行人的；</w:t>
            </w:r>
          </w:p>
          <w:p>
            <w:pPr>
              <w:jc w:val="left"/>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②被列入拖欠农民工工资失信联合惩戒对象名单的。</w:t>
            </w:r>
          </w:p>
          <w:p>
            <w:pPr>
              <w:jc w:val="left"/>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③被列入税收违法黑名单的。</w:t>
            </w:r>
          </w:p>
          <w:p>
            <w:pPr>
              <w:jc w:val="left"/>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注：以评审现场信用中国官网查询结果为准。</w:t>
            </w:r>
          </w:p>
          <w:p>
            <w:pPr>
              <w:jc w:val="left"/>
              <w:rPr>
                <w:rFonts w:ascii="楷体_GB2312" w:hAnsi="宋体" w:eastAsia="楷体_GB2312" w:cs="楷体_GB2312"/>
                <w:color w:val="000000"/>
                <w:kern w:val="0"/>
                <w:sz w:val="20"/>
                <w:szCs w:val="20"/>
                <w:lang w:bidi="ar"/>
              </w:rPr>
            </w:pPr>
            <w:r>
              <w:rPr>
                <w:rFonts w:hint="eastAsia" w:ascii="楷体_GB2312" w:hAnsi="宋体" w:eastAsia="楷体_GB2312" w:cs="楷体_GB2312"/>
                <w:color w:val="FF0000"/>
                <w:kern w:val="0"/>
                <w:sz w:val="20"/>
                <w:szCs w:val="20"/>
                <w:lang w:bidi="ar"/>
              </w:rPr>
              <w:t>（</w:t>
            </w:r>
            <w:r>
              <w:rPr>
                <w:rFonts w:hint="eastAsia" w:ascii="楷体_GB2312" w:hAnsi="宋体" w:eastAsia="楷体_GB2312" w:cs="楷体_GB2312"/>
                <w:color w:val="000000" w:themeColor="text1"/>
                <w:kern w:val="0"/>
                <w:sz w:val="20"/>
                <w:szCs w:val="20"/>
                <w:lang w:bidi="ar"/>
                <w14:textFill>
                  <w14:solidFill>
                    <w14:schemeClr w14:val="tx1"/>
                  </w14:solidFill>
                </w14:textFill>
              </w:rPr>
              <w:t>2）入库单位具有有效期内的质量管理体系、环境管理体系、职业健康安全管理体系认证证书的，每个证书得2分，满分6分（提供证书复印件）。</w:t>
            </w:r>
          </w:p>
        </w:tc>
      </w:tr>
      <w:tr>
        <w:tblPrEx>
          <w:tblCellMar>
            <w:top w:w="0" w:type="dxa"/>
            <w:left w:w="108" w:type="dxa"/>
            <w:bottom w:w="0" w:type="dxa"/>
            <w:right w:w="108" w:type="dxa"/>
          </w:tblCellMar>
        </w:tblPrEx>
        <w:trPr>
          <w:trHeight w:val="54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5</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资源配置</w:t>
            </w:r>
          </w:p>
        </w:tc>
        <w:tc>
          <w:tcPr>
            <w:tcW w:w="122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0～1</w:t>
            </w:r>
            <w:r>
              <w:rPr>
                <w:rFonts w:hint="eastAsia" w:ascii="楷体_GB2312" w:hAnsi="宋体" w:eastAsia="楷体_GB2312" w:cs="楷体_GB2312"/>
                <w:color w:val="000000"/>
                <w:kern w:val="0"/>
                <w:sz w:val="20"/>
                <w:szCs w:val="20"/>
                <w:lang w:bidi="ar"/>
              </w:rPr>
              <w:t>0</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根据</w:t>
            </w:r>
            <w:r>
              <w:rPr>
                <w:rFonts w:hint="eastAsia" w:ascii="楷体_GB2312" w:hAnsi="宋体" w:eastAsia="楷体_GB2312" w:cs="楷体_GB2312"/>
                <w:color w:val="000000"/>
                <w:kern w:val="0"/>
                <w:sz w:val="20"/>
                <w:szCs w:val="20"/>
                <w:lang w:bidi="ar"/>
              </w:rPr>
              <w:t>入库</w:t>
            </w:r>
            <w:r>
              <w:rPr>
                <w:rFonts w:ascii="楷体_GB2312" w:hAnsi="宋体" w:eastAsia="楷体_GB2312" w:cs="楷体_GB2312"/>
                <w:color w:val="000000"/>
                <w:kern w:val="0"/>
                <w:sz w:val="20"/>
                <w:szCs w:val="20"/>
                <w:lang w:bidi="ar"/>
              </w:rPr>
              <w:t>单位</w:t>
            </w:r>
            <w:r>
              <w:rPr>
                <w:rFonts w:hint="eastAsia" w:ascii="楷体_GB2312" w:hAnsi="宋体" w:eastAsia="楷体_GB2312" w:cs="楷体_GB2312"/>
                <w:color w:val="000000"/>
                <w:kern w:val="0"/>
                <w:sz w:val="20"/>
                <w:szCs w:val="20"/>
                <w:lang w:bidi="ar"/>
              </w:rPr>
              <w:t>自有</w:t>
            </w:r>
            <w:r>
              <w:rPr>
                <w:rFonts w:hint="eastAsia" w:ascii="楷体_GB2312" w:hAnsi="宋体" w:eastAsia="楷体_GB2312" w:cs="楷体_GB2312"/>
                <w:color w:val="000000"/>
                <w:sz w:val="20"/>
                <w:szCs w:val="20"/>
              </w:rPr>
              <w:t>施工机械、设备、机具情况进行综合打分，得0-10分。</w:t>
            </w:r>
          </w:p>
          <w:p>
            <w:pPr>
              <w:jc w:val="left"/>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注：提供自有施工机械、设备、机具统计表（格式自拟），并承诺真实性。</w:t>
            </w:r>
          </w:p>
        </w:tc>
      </w:tr>
      <w:tr>
        <w:tblPrEx>
          <w:tblCellMar>
            <w:top w:w="0" w:type="dxa"/>
            <w:left w:w="108" w:type="dxa"/>
            <w:bottom w:w="0" w:type="dxa"/>
            <w:right w:w="108" w:type="dxa"/>
          </w:tblCellMar>
        </w:tblPrEx>
        <w:trPr>
          <w:trHeight w:val="54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6</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财务状况</w:t>
            </w:r>
          </w:p>
        </w:tc>
        <w:tc>
          <w:tcPr>
            <w:tcW w:w="122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微软雅黑" w:hAnsi="微软雅黑" w:eastAsia="微软雅黑" w:cs="微软雅黑"/>
                <w:sz w:val="20"/>
              </w:rPr>
              <w:t xml:space="preserve"> 0～5 </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_GB2312" w:hAnsi="宋体" w:eastAsia="楷体_GB2312" w:cs="楷体_GB2312"/>
                <w:color w:val="000000"/>
                <w:kern w:val="0"/>
                <w:sz w:val="20"/>
                <w:szCs w:val="20"/>
                <w:lang w:bidi="ar"/>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_GB2312" w:hAnsi="宋体" w:eastAsia="楷体_GB2312" w:cs="楷体_GB2312"/>
                <w:color w:val="000000"/>
                <w:kern w:val="0"/>
                <w:sz w:val="20"/>
                <w:szCs w:val="20"/>
                <w:lang w:bidi="ar"/>
              </w:rPr>
            </w:pPr>
            <w:r>
              <w:rPr>
                <w:rFonts w:ascii="楷体_GB2312" w:hAnsi="宋体" w:eastAsia="楷体_GB2312" w:cs="楷体_GB2312"/>
                <w:color w:val="000000"/>
                <w:kern w:val="0"/>
                <w:sz w:val="20"/>
                <w:szCs w:val="20"/>
                <w:lang w:bidi="ar"/>
              </w:rPr>
              <w:t>根据企业上一年度财务报表情况进行综合评分，财务状况良好的，得5分（含）-5分，财务状况一般的，得3分（含）-3分（不含），负债较高的不得分。</w:t>
            </w:r>
          </w:p>
          <w:p>
            <w:pPr>
              <w:jc w:val="left"/>
              <w:rPr>
                <w:rFonts w:ascii="楷体_GB2312" w:hAnsi="宋体" w:eastAsia="楷体_GB2312" w:cs="楷体_GB2312"/>
                <w:color w:val="000000"/>
                <w:kern w:val="0"/>
                <w:sz w:val="20"/>
                <w:szCs w:val="20"/>
                <w:lang w:bidi="ar"/>
              </w:rPr>
            </w:pPr>
            <w:r>
              <w:rPr>
                <w:rFonts w:ascii="楷体_GB2312" w:hAnsi="宋体" w:eastAsia="楷体_GB2312" w:cs="楷体_GB2312"/>
                <w:color w:val="000000"/>
                <w:kern w:val="0"/>
                <w:sz w:val="20"/>
                <w:szCs w:val="20"/>
                <w:lang w:bidi="ar"/>
              </w:rPr>
              <w:t>注：提供企业上一年度财务报表（含资产负债表、现金流量表和利润表）复印件或影印件。</w:t>
            </w:r>
          </w:p>
        </w:tc>
      </w:tr>
      <w:tr>
        <w:tblPrEx>
          <w:tblCellMar>
            <w:top w:w="0" w:type="dxa"/>
            <w:left w:w="108" w:type="dxa"/>
            <w:bottom w:w="0" w:type="dxa"/>
            <w:right w:w="108" w:type="dxa"/>
          </w:tblCellMar>
        </w:tblPrEx>
        <w:trPr>
          <w:trHeight w:val="54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7</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主管部门处罚情况</w:t>
            </w:r>
          </w:p>
        </w:tc>
        <w:tc>
          <w:tcPr>
            <w:tcW w:w="1229" w:type="dxa"/>
            <w:tcBorders>
              <w:top w:val="single" w:color="000000" w:sz="4" w:space="0"/>
              <w:left w:val="nil"/>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kern w:val="0"/>
                <w:sz w:val="20"/>
                <w:szCs w:val="20"/>
                <w:lang w:bidi="ar"/>
              </w:rPr>
            </w:pPr>
            <w:r>
              <w:rPr>
                <w:rFonts w:hint="eastAsia" w:ascii="楷体_GB2312" w:hAnsi="宋体" w:eastAsia="楷体_GB2312" w:cs="楷体_GB2312"/>
                <w:color w:val="000000"/>
                <w:kern w:val="0"/>
                <w:sz w:val="20"/>
                <w:szCs w:val="20"/>
                <w:lang w:bidi="ar"/>
              </w:rPr>
              <w:t>0</w:t>
            </w:r>
            <w:r>
              <w:rPr>
                <w:rFonts w:ascii="楷体_GB2312" w:hAnsi="宋体" w:eastAsia="楷体_GB2312" w:cs="楷体_GB2312"/>
                <w:color w:val="000000"/>
                <w:kern w:val="0"/>
                <w:sz w:val="20"/>
                <w:szCs w:val="20"/>
                <w:lang w:bidi="ar"/>
              </w:rPr>
              <w:t>～</w:t>
            </w:r>
            <w:r>
              <w:rPr>
                <w:rFonts w:hint="eastAsia" w:ascii="楷体_GB2312" w:hAnsi="宋体" w:eastAsia="楷体_GB2312" w:cs="楷体_GB2312"/>
                <w:color w:val="000000"/>
                <w:kern w:val="0"/>
                <w:sz w:val="20"/>
                <w:szCs w:val="20"/>
                <w:lang w:bidi="ar"/>
              </w:rPr>
              <w:t>15</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_GB2312" w:hAnsi="宋体" w:eastAsia="楷体_GB2312" w:cs="楷体_GB2312"/>
                <w:color w:val="000000"/>
                <w:kern w:val="0"/>
                <w:sz w:val="20"/>
                <w:szCs w:val="20"/>
                <w:lang w:bidi="ar"/>
              </w:rPr>
            </w:pPr>
            <w:r>
              <w:rPr>
                <w:rFonts w:ascii="微软雅黑" w:hAnsi="微软雅黑" w:eastAsia="微软雅黑" w:cs="微软雅黑"/>
                <w:sz w:val="20"/>
              </w:rPr>
              <w:t xml:space="preserve"> </w:t>
            </w:r>
            <w:r>
              <w:rPr>
                <w:rFonts w:ascii="楷体_GB2312" w:hAnsi="宋体" w:eastAsia="楷体_GB2312" w:cs="楷体_GB2312"/>
                <w:color w:val="000000"/>
                <w:kern w:val="0"/>
                <w:sz w:val="20"/>
                <w:szCs w:val="20"/>
                <w:lang w:bidi="ar"/>
              </w:rPr>
              <w:t>2019年1月至今，入库单位未被安徽省住房和城乡建设厅列入处罚公开名单的，得15分，每有一次处罚公开，扣5分，扣完为止。</w:t>
            </w:r>
          </w:p>
          <w:p>
            <w:pPr>
              <w:jc w:val="left"/>
              <w:rPr>
                <w:rFonts w:ascii="楷体_GB2312" w:hAnsi="宋体" w:eastAsia="楷体_GB2312" w:cs="楷体_GB2312"/>
                <w:color w:val="000000"/>
                <w:kern w:val="0"/>
                <w:sz w:val="20"/>
                <w:szCs w:val="20"/>
                <w:lang w:bidi="ar"/>
              </w:rPr>
            </w:pPr>
            <w:r>
              <w:rPr>
                <w:rFonts w:ascii="楷体_GB2312" w:hAnsi="宋体" w:eastAsia="楷体_GB2312" w:cs="楷体_GB2312"/>
                <w:color w:val="000000"/>
                <w:kern w:val="0"/>
                <w:sz w:val="20"/>
                <w:szCs w:val="20"/>
                <w:lang w:bidi="ar"/>
              </w:rPr>
              <w:t>注:提供安徽省住房和城乡建设厅官网处罚公开栏查询截图（网址：http://dohurd.ah.gov.cn/fw/zwfwspgs/index.html#atab4）。</w:t>
            </w:r>
          </w:p>
        </w:tc>
      </w:tr>
      <w:tr>
        <w:tblPrEx>
          <w:tblCellMar>
            <w:top w:w="0" w:type="dxa"/>
            <w:left w:w="108" w:type="dxa"/>
            <w:bottom w:w="0" w:type="dxa"/>
            <w:right w:w="108" w:type="dxa"/>
          </w:tblCellMar>
        </w:tblPrEx>
        <w:trPr>
          <w:trHeight w:val="54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8</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其他补充材料</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0～</w:t>
            </w:r>
            <w:r>
              <w:rPr>
                <w:rFonts w:hint="eastAsia" w:ascii="楷体_GB2312" w:hAnsi="宋体" w:eastAsia="楷体_GB2312" w:cs="楷体_GB2312"/>
                <w:color w:val="000000"/>
                <w:kern w:val="0"/>
                <w:sz w:val="20"/>
                <w:szCs w:val="20"/>
                <w:lang w:bidi="ar"/>
              </w:rPr>
              <w:t>14</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其他可以证明企业实力的材料均可提供：如入库单位其他荣誉证书、企业规模、企业业绩、技术工人数量及证书等。</w:t>
            </w:r>
          </w:p>
        </w:tc>
      </w:tr>
      <w:tr>
        <w:tblPrEx>
          <w:tblCellMar>
            <w:top w:w="0" w:type="dxa"/>
            <w:left w:w="108" w:type="dxa"/>
            <w:bottom w:w="0" w:type="dxa"/>
            <w:right w:w="108" w:type="dxa"/>
          </w:tblCellMar>
        </w:tblPrEx>
        <w:trPr>
          <w:trHeight w:val="54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1843"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合计</w:t>
            </w:r>
          </w:p>
        </w:tc>
        <w:tc>
          <w:tcPr>
            <w:tcW w:w="1229"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1125" w:hRule="atLeast"/>
          <w:jc w:val="center"/>
        </w:trPr>
        <w:tc>
          <w:tcPr>
            <w:tcW w:w="87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_GB2312" w:hAnsi="宋体" w:eastAsia="楷体_GB2312" w:cs="楷体_GB2312"/>
                <w:b/>
                <w:bCs/>
                <w:color w:val="000000"/>
                <w:sz w:val="20"/>
                <w:szCs w:val="20"/>
              </w:rPr>
            </w:pPr>
            <w:r>
              <w:rPr>
                <w:rFonts w:ascii="楷体_GB2312" w:hAnsi="宋体" w:eastAsia="楷体_GB2312" w:cs="楷体_GB2312"/>
                <w:b/>
                <w:bCs/>
                <w:color w:val="000000"/>
                <w:kern w:val="0"/>
                <w:sz w:val="20"/>
                <w:szCs w:val="20"/>
                <w:lang w:bidi="ar"/>
              </w:rPr>
              <w:t xml:space="preserve"> 说明：1、商务技术采用百分制，每个</w:t>
            </w:r>
            <w:r>
              <w:rPr>
                <w:rFonts w:hint="eastAsia" w:ascii="楷体_GB2312" w:hAnsi="宋体" w:eastAsia="楷体_GB2312" w:cs="楷体_GB2312"/>
                <w:b/>
                <w:bCs/>
                <w:color w:val="000000"/>
                <w:kern w:val="0"/>
                <w:sz w:val="20"/>
                <w:szCs w:val="20"/>
                <w:lang w:bidi="ar"/>
              </w:rPr>
              <w:t>申请入库公司</w:t>
            </w:r>
            <w:r>
              <w:rPr>
                <w:rFonts w:ascii="楷体_GB2312" w:hAnsi="宋体" w:eastAsia="楷体_GB2312" w:cs="楷体_GB2312"/>
                <w:b/>
                <w:bCs/>
                <w:color w:val="000000"/>
                <w:kern w:val="0"/>
                <w:sz w:val="20"/>
                <w:szCs w:val="20"/>
                <w:lang w:bidi="ar"/>
              </w:rPr>
              <w:t>单独评分；</w:t>
            </w:r>
            <w:r>
              <w:rPr>
                <w:rFonts w:ascii="楷体_GB2312" w:hAnsi="宋体" w:eastAsia="楷体_GB2312" w:cs="楷体_GB2312"/>
                <w:b/>
                <w:bCs/>
                <w:color w:val="000000"/>
                <w:kern w:val="0"/>
                <w:sz w:val="20"/>
                <w:szCs w:val="20"/>
                <w:lang w:bidi="ar"/>
              </w:rPr>
              <w:br w:type="textWrapping"/>
            </w:r>
            <w:r>
              <w:rPr>
                <w:rFonts w:ascii="楷体_GB2312" w:hAnsi="宋体" w:eastAsia="楷体_GB2312" w:cs="楷体_GB2312"/>
                <w:b/>
                <w:bCs/>
                <w:color w:val="000000"/>
                <w:kern w:val="0"/>
                <w:sz w:val="20"/>
                <w:szCs w:val="20"/>
                <w:lang w:bidi="ar"/>
              </w:rPr>
              <w:t xml:space="preserve">      2、拟投入分包管理人员及班组长资格条件不满足要求的，实行一票否决制，不得作为中标候选人。</w:t>
            </w:r>
          </w:p>
        </w:tc>
      </w:tr>
      <w:tr>
        <w:tblPrEx>
          <w:tblCellMar>
            <w:top w:w="0" w:type="dxa"/>
            <w:left w:w="108" w:type="dxa"/>
            <w:bottom w:w="0" w:type="dxa"/>
            <w:right w:w="108" w:type="dxa"/>
          </w:tblCellMar>
        </w:tblPrEx>
        <w:trPr>
          <w:trHeight w:val="525" w:hRule="atLeast"/>
          <w:jc w:val="center"/>
        </w:trPr>
        <w:tc>
          <w:tcPr>
            <w:tcW w:w="639" w:type="dxa"/>
            <w:tcBorders>
              <w:top w:val="nil"/>
              <w:left w:val="nil"/>
              <w:bottom w:val="nil"/>
              <w:right w:val="nil"/>
            </w:tcBorders>
            <w:shd w:val="clear" w:color="auto" w:fill="auto"/>
            <w:noWrap/>
            <w:vAlign w:val="bottom"/>
          </w:tcPr>
          <w:p>
            <w:pPr>
              <w:widowControl/>
              <w:jc w:val="left"/>
              <w:textAlignment w:val="bottom"/>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评审人：</w:t>
            </w:r>
          </w:p>
        </w:tc>
        <w:tc>
          <w:tcPr>
            <w:tcW w:w="1843" w:type="dxa"/>
            <w:tcBorders>
              <w:top w:val="nil"/>
              <w:left w:val="nil"/>
              <w:bottom w:val="nil"/>
              <w:right w:val="nil"/>
            </w:tcBorders>
            <w:shd w:val="clear" w:color="auto" w:fill="auto"/>
            <w:noWrap/>
            <w:vAlign w:val="bottom"/>
          </w:tcPr>
          <w:p>
            <w:pPr>
              <w:jc w:val="center"/>
              <w:rPr>
                <w:rFonts w:ascii="楷体_GB2312" w:hAnsi="宋体" w:eastAsia="楷体_GB2312" w:cs="楷体_GB2312"/>
                <w:color w:val="000000"/>
                <w:sz w:val="20"/>
                <w:szCs w:val="20"/>
              </w:rPr>
            </w:pPr>
          </w:p>
        </w:tc>
        <w:tc>
          <w:tcPr>
            <w:tcW w:w="1229" w:type="dxa"/>
            <w:tcBorders>
              <w:top w:val="nil"/>
              <w:left w:val="nil"/>
              <w:bottom w:val="nil"/>
              <w:right w:val="nil"/>
            </w:tcBorders>
            <w:shd w:val="clear" w:color="auto" w:fill="auto"/>
            <w:noWrap/>
            <w:vAlign w:val="bottom"/>
          </w:tcPr>
          <w:p>
            <w:pPr>
              <w:jc w:val="center"/>
              <w:rPr>
                <w:rFonts w:ascii="楷体_GB2312" w:hAnsi="宋体" w:eastAsia="楷体_GB2312" w:cs="楷体_GB2312"/>
                <w:color w:val="000000"/>
                <w:sz w:val="20"/>
                <w:szCs w:val="20"/>
              </w:rPr>
            </w:pPr>
          </w:p>
        </w:tc>
        <w:tc>
          <w:tcPr>
            <w:tcW w:w="869" w:type="dxa"/>
            <w:tcBorders>
              <w:top w:val="nil"/>
              <w:left w:val="nil"/>
              <w:bottom w:val="nil"/>
              <w:right w:val="nil"/>
            </w:tcBorders>
            <w:shd w:val="clear" w:color="auto" w:fill="auto"/>
            <w:noWrap/>
            <w:vAlign w:val="bottom"/>
          </w:tcPr>
          <w:p>
            <w:pPr>
              <w:widowControl/>
              <w:jc w:val="left"/>
              <w:textAlignment w:val="bottom"/>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日期：</w:t>
            </w:r>
          </w:p>
        </w:tc>
        <w:tc>
          <w:tcPr>
            <w:tcW w:w="4200" w:type="dxa"/>
            <w:tcBorders>
              <w:top w:val="nil"/>
              <w:left w:val="nil"/>
              <w:bottom w:val="nil"/>
              <w:right w:val="nil"/>
            </w:tcBorders>
            <w:shd w:val="clear" w:color="auto" w:fill="auto"/>
            <w:noWrap/>
            <w:vAlign w:val="bottom"/>
          </w:tcPr>
          <w:p>
            <w:pPr>
              <w:jc w:val="center"/>
              <w:rPr>
                <w:rFonts w:ascii="楷体_GB2312" w:hAnsi="宋体" w:eastAsia="楷体_GB2312" w:cs="楷体_GB2312"/>
                <w:color w:val="000000"/>
                <w:sz w:val="24"/>
              </w:rPr>
            </w:pPr>
          </w:p>
        </w:tc>
      </w:tr>
    </w:tbl>
    <w:p/>
    <w:p/>
    <w:p/>
    <w:p/>
    <w:p/>
    <w:p/>
    <w:tbl>
      <w:tblPr>
        <w:tblStyle w:val="5"/>
        <w:tblW w:w="0" w:type="auto"/>
        <w:tblInd w:w="-739" w:type="dxa"/>
        <w:tblLayout w:type="fixed"/>
        <w:tblCellMar>
          <w:top w:w="0" w:type="dxa"/>
          <w:left w:w="108" w:type="dxa"/>
          <w:bottom w:w="0" w:type="dxa"/>
          <w:right w:w="108" w:type="dxa"/>
        </w:tblCellMar>
      </w:tblPr>
      <w:tblGrid>
        <w:gridCol w:w="1238"/>
        <w:gridCol w:w="2724"/>
        <w:gridCol w:w="3038"/>
        <w:gridCol w:w="2200"/>
        <w:gridCol w:w="675"/>
      </w:tblGrid>
      <w:tr>
        <w:tblPrEx>
          <w:tblCellMar>
            <w:top w:w="0" w:type="dxa"/>
            <w:left w:w="108" w:type="dxa"/>
            <w:bottom w:w="0" w:type="dxa"/>
            <w:right w:w="108" w:type="dxa"/>
          </w:tblCellMar>
        </w:tblPrEx>
        <w:trPr>
          <w:trHeight w:val="800" w:hRule="atLeast"/>
        </w:trPr>
        <w:tc>
          <w:tcPr>
            <w:tcW w:w="9875" w:type="dxa"/>
            <w:gridSpan w:val="5"/>
            <w:tcBorders>
              <w:top w:val="nil"/>
              <w:left w:val="nil"/>
              <w:bottom w:val="nil"/>
              <w:right w:val="nil"/>
            </w:tcBorders>
            <w:shd w:val="clear" w:color="auto" w:fill="auto"/>
            <w:noWrap/>
            <w:vAlign w:val="center"/>
          </w:tcPr>
          <w:p>
            <w:pPr>
              <w:widowControl/>
              <w:ind w:left="-840" w:leftChars="-400" w:firstLine="839" w:firstLineChars="209"/>
              <w:jc w:val="center"/>
              <w:textAlignment w:val="center"/>
              <w:rPr>
                <w:rFonts w:ascii="楷体_GB2312" w:hAnsi="宋体" w:eastAsia="楷体_GB2312" w:cs="楷体_GB2312"/>
                <w:b/>
                <w:bCs/>
                <w:color w:val="000000"/>
                <w:sz w:val="40"/>
                <w:szCs w:val="40"/>
              </w:rPr>
            </w:pPr>
            <w:r>
              <w:rPr>
                <w:rFonts w:ascii="楷体_GB2312" w:hAnsi="宋体" w:eastAsia="楷体_GB2312" w:cs="楷体_GB2312"/>
                <w:b/>
                <w:bCs/>
                <w:color w:val="000000"/>
                <w:kern w:val="0"/>
                <w:sz w:val="40"/>
                <w:szCs w:val="40"/>
                <w:lang w:bidi="ar"/>
              </w:rPr>
              <w:t>评 标 结 果</w:t>
            </w:r>
          </w:p>
        </w:tc>
      </w:tr>
      <w:tr>
        <w:tblPrEx>
          <w:tblCellMar>
            <w:top w:w="0" w:type="dxa"/>
            <w:left w:w="108" w:type="dxa"/>
            <w:bottom w:w="0" w:type="dxa"/>
            <w:right w:w="108" w:type="dxa"/>
          </w:tblCellMar>
        </w:tblPrEx>
        <w:trPr>
          <w:trHeight w:val="765"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序号</w:t>
            </w:r>
          </w:p>
        </w:tc>
        <w:tc>
          <w:tcPr>
            <w:tcW w:w="2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color w:val="000000"/>
                <w:sz w:val="20"/>
                <w:szCs w:val="20"/>
              </w:rPr>
            </w:pPr>
            <w:r>
              <w:rPr>
                <w:rFonts w:hint="eastAsia" w:ascii="楷体_GB2312" w:hAnsi="宋体" w:eastAsia="楷体_GB2312" w:cs="楷体_GB2312"/>
                <w:color w:val="000000"/>
                <w:kern w:val="0"/>
                <w:sz w:val="20"/>
                <w:szCs w:val="20"/>
                <w:lang w:bidi="ar"/>
              </w:rPr>
              <w:t>申请入库</w:t>
            </w:r>
            <w:r>
              <w:rPr>
                <w:rFonts w:ascii="楷体_GB2312" w:hAnsi="宋体" w:eastAsia="楷体_GB2312" w:cs="楷体_GB2312"/>
                <w:color w:val="000000"/>
                <w:kern w:val="0"/>
                <w:sz w:val="20"/>
                <w:szCs w:val="20"/>
                <w:lang w:bidi="ar"/>
              </w:rPr>
              <w:t>单位名称</w:t>
            </w:r>
          </w:p>
        </w:tc>
        <w:tc>
          <w:tcPr>
            <w:tcW w:w="3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商务技术得分</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排名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备注</w:t>
            </w: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1</w:t>
            </w:r>
          </w:p>
        </w:tc>
        <w:tc>
          <w:tcPr>
            <w:tcW w:w="27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2</w:t>
            </w: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3</w:t>
            </w: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4</w:t>
            </w: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5</w:t>
            </w: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6</w:t>
            </w: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7</w:t>
            </w: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8</w:t>
            </w: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9</w:t>
            </w: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r>
              <w:rPr>
                <w:rFonts w:hint="eastAsia" w:ascii="楷体_GB2312" w:hAnsi="宋体" w:eastAsia="楷体_GB2312" w:cs="楷体_GB2312"/>
                <w:color w:val="000000"/>
                <w:sz w:val="20"/>
                <w:szCs w:val="20"/>
              </w:rPr>
              <w:t>10</w:t>
            </w: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660"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3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_GB2312" w:hAnsi="宋体" w:eastAsia="楷体_GB2312" w:cs="楷体_GB2312"/>
                <w:color w:val="000000"/>
                <w:sz w:val="20"/>
                <w:szCs w:val="20"/>
              </w:rPr>
            </w:pPr>
          </w:p>
        </w:tc>
      </w:tr>
      <w:tr>
        <w:tblPrEx>
          <w:tblCellMar>
            <w:top w:w="0" w:type="dxa"/>
            <w:left w:w="108" w:type="dxa"/>
            <w:bottom w:w="0" w:type="dxa"/>
            <w:right w:w="108" w:type="dxa"/>
          </w:tblCellMar>
        </w:tblPrEx>
        <w:trPr>
          <w:trHeight w:val="1665" w:hRule="atLeast"/>
        </w:trPr>
        <w:tc>
          <w:tcPr>
            <w:tcW w:w="9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_GB2312" w:hAnsi="宋体" w:eastAsia="楷体_GB2312" w:cs="楷体_GB2312"/>
                <w:b/>
                <w:bCs/>
                <w:color w:val="000000"/>
                <w:sz w:val="20"/>
                <w:szCs w:val="20"/>
              </w:rPr>
            </w:pPr>
            <w:r>
              <w:rPr>
                <w:rFonts w:ascii="楷体_GB2312" w:hAnsi="宋体" w:eastAsia="楷体_GB2312" w:cs="楷体_GB2312"/>
                <w:b/>
                <w:bCs/>
                <w:color w:val="000000"/>
                <w:kern w:val="0"/>
                <w:sz w:val="20"/>
                <w:szCs w:val="20"/>
                <w:lang w:bidi="ar"/>
              </w:rPr>
              <w:t>说明：1、</w:t>
            </w:r>
            <w:r>
              <w:rPr>
                <w:rFonts w:hint="eastAsia" w:ascii="楷体_GB2312" w:hAnsi="宋体" w:eastAsia="楷体_GB2312" w:cs="楷体_GB2312"/>
                <w:b/>
                <w:bCs/>
                <w:color w:val="000000"/>
                <w:kern w:val="0"/>
                <w:sz w:val="20"/>
                <w:szCs w:val="20"/>
                <w:lang w:bidi="ar"/>
              </w:rPr>
              <w:t>申请入库专业分包公司的</w:t>
            </w:r>
            <w:r>
              <w:rPr>
                <w:rFonts w:ascii="楷体_GB2312" w:hAnsi="宋体" w:eastAsia="楷体_GB2312" w:cs="楷体_GB2312"/>
                <w:b/>
                <w:bCs/>
                <w:color w:val="000000"/>
                <w:kern w:val="0"/>
                <w:sz w:val="20"/>
                <w:szCs w:val="20"/>
                <w:lang w:bidi="ar"/>
              </w:rPr>
              <w:t>商务技术得分去掉一个最高分，去掉一个最低分，然后取平均值作为最终分值；</w:t>
            </w:r>
            <w:r>
              <w:rPr>
                <w:rFonts w:ascii="楷体_GB2312" w:hAnsi="宋体" w:eastAsia="楷体_GB2312" w:cs="楷体_GB2312"/>
                <w:b/>
                <w:bCs/>
                <w:color w:val="000000"/>
                <w:kern w:val="0"/>
                <w:sz w:val="20"/>
                <w:szCs w:val="20"/>
                <w:lang w:bidi="ar"/>
              </w:rPr>
              <w:br w:type="textWrapping"/>
            </w:r>
            <w:r>
              <w:rPr>
                <w:rFonts w:ascii="楷体_GB2312" w:hAnsi="宋体" w:eastAsia="楷体_GB2312" w:cs="楷体_GB2312"/>
                <w:b/>
                <w:bCs/>
                <w:color w:val="000000"/>
                <w:kern w:val="0"/>
                <w:sz w:val="20"/>
                <w:szCs w:val="20"/>
                <w:lang w:bidi="ar"/>
              </w:rPr>
              <w:t xml:space="preserve">     </w:t>
            </w:r>
            <w:r>
              <w:rPr>
                <w:rFonts w:hint="eastAsia" w:ascii="楷体_GB2312" w:hAnsi="宋体" w:eastAsia="楷体_GB2312" w:cs="楷体_GB2312"/>
                <w:b/>
                <w:bCs/>
                <w:color w:val="000000"/>
                <w:kern w:val="0"/>
                <w:sz w:val="20"/>
                <w:szCs w:val="20"/>
                <w:lang w:bidi="ar"/>
              </w:rPr>
              <w:t>2</w:t>
            </w:r>
            <w:r>
              <w:rPr>
                <w:rFonts w:ascii="楷体_GB2312" w:hAnsi="宋体" w:eastAsia="楷体_GB2312" w:cs="楷体_GB2312"/>
                <w:b/>
                <w:bCs/>
                <w:color w:val="000000"/>
                <w:kern w:val="0"/>
                <w:sz w:val="20"/>
                <w:szCs w:val="20"/>
                <w:lang w:bidi="ar"/>
              </w:rPr>
              <w:t>、总分=商务技术得分，名次按总分值由高到低的顺序排名。</w:t>
            </w:r>
          </w:p>
        </w:tc>
      </w:tr>
      <w:tr>
        <w:tblPrEx>
          <w:tblCellMar>
            <w:top w:w="0" w:type="dxa"/>
            <w:left w:w="108" w:type="dxa"/>
            <w:bottom w:w="0" w:type="dxa"/>
            <w:right w:w="108" w:type="dxa"/>
          </w:tblCellMar>
        </w:tblPrEx>
        <w:trPr>
          <w:trHeight w:val="510" w:hRule="atLeast"/>
        </w:trPr>
        <w:tc>
          <w:tcPr>
            <w:tcW w:w="9875" w:type="dxa"/>
            <w:gridSpan w:val="5"/>
            <w:tcBorders>
              <w:top w:val="single" w:color="000000" w:sz="4" w:space="0"/>
              <w:left w:val="nil"/>
              <w:bottom w:val="nil"/>
              <w:right w:val="nil"/>
            </w:tcBorders>
            <w:shd w:val="clear" w:color="auto" w:fill="auto"/>
            <w:noWrap/>
            <w:vAlign w:val="center"/>
          </w:tcPr>
          <w:p>
            <w:pPr>
              <w:widowControl/>
              <w:jc w:val="left"/>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计算：                      审核：                              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7557AA"/>
    <w:multiLevelType w:val="singleLevel"/>
    <w:tmpl w:val="C37557AA"/>
    <w:lvl w:ilvl="0" w:tentative="0">
      <w:start w:val="2"/>
      <w:numFmt w:val="decimal"/>
      <w:suff w:val="nothing"/>
      <w:lvlText w:val="（%1）"/>
      <w:lvlJc w:val="left"/>
    </w:lvl>
  </w:abstractNum>
  <w:abstractNum w:abstractNumId="1">
    <w:nsid w:val="2DF6C858"/>
    <w:multiLevelType w:val="singleLevel"/>
    <w:tmpl w:val="2DF6C85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xODU2OTM4MTA2MjRkZWVjZjc0Mjc1ZDZiODhkNTYifQ=="/>
  </w:docVars>
  <w:rsids>
    <w:rsidRoot w:val="00D454EA"/>
    <w:rsid w:val="00025F61"/>
    <w:rsid w:val="00062D2D"/>
    <w:rsid w:val="000E76FE"/>
    <w:rsid w:val="00233587"/>
    <w:rsid w:val="00311A30"/>
    <w:rsid w:val="00322B61"/>
    <w:rsid w:val="006A4128"/>
    <w:rsid w:val="006A5F44"/>
    <w:rsid w:val="006C6A62"/>
    <w:rsid w:val="009E21FE"/>
    <w:rsid w:val="00A158E1"/>
    <w:rsid w:val="00D454EA"/>
    <w:rsid w:val="00E03273"/>
    <w:rsid w:val="00F343C3"/>
    <w:rsid w:val="06C23411"/>
    <w:rsid w:val="09EF276F"/>
    <w:rsid w:val="10BD35C7"/>
    <w:rsid w:val="119C7C5F"/>
    <w:rsid w:val="126F6B43"/>
    <w:rsid w:val="12761F5D"/>
    <w:rsid w:val="19C458F5"/>
    <w:rsid w:val="1B405018"/>
    <w:rsid w:val="1E45328F"/>
    <w:rsid w:val="1FA92F69"/>
    <w:rsid w:val="228A0E2F"/>
    <w:rsid w:val="24DE1906"/>
    <w:rsid w:val="2C363DD6"/>
    <w:rsid w:val="2E940A3F"/>
    <w:rsid w:val="316F28FB"/>
    <w:rsid w:val="324E6731"/>
    <w:rsid w:val="352D625D"/>
    <w:rsid w:val="39AD02F7"/>
    <w:rsid w:val="3A6F6E31"/>
    <w:rsid w:val="42517E9B"/>
    <w:rsid w:val="44450C02"/>
    <w:rsid w:val="45646E7D"/>
    <w:rsid w:val="47BB47C3"/>
    <w:rsid w:val="487A531F"/>
    <w:rsid w:val="4C63256E"/>
    <w:rsid w:val="4D910B0C"/>
    <w:rsid w:val="4E4908EA"/>
    <w:rsid w:val="53C82F88"/>
    <w:rsid w:val="53DA4354"/>
    <w:rsid w:val="58F513AB"/>
    <w:rsid w:val="5944198D"/>
    <w:rsid w:val="5A2E40EE"/>
    <w:rsid w:val="5D335644"/>
    <w:rsid w:val="5E8120F2"/>
    <w:rsid w:val="62F9557B"/>
    <w:rsid w:val="63FA460F"/>
    <w:rsid w:val="6CB3550F"/>
    <w:rsid w:val="6F807C9F"/>
    <w:rsid w:val="70EA1CF8"/>
    <w:rsid w:val="753D4E5A"/>
    <w:rsid w:val="77972B76"/>
    <w:rsid w:val="79FE7246"/>
    <w:rsid w:val="7BB534C2"/>
    <w:rsid w:val="7C860596"/>
    <w:rsid w:val="7D152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color w:val="333333"/>
      <w:kern w:val="44"/>
      <w:sz w:val="42"/>
      <w:szCs w:val="4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3"/>
    <w:qFormat/>
    <w:uiPriority w:val="0"/>
    <w:pPr>
      <w:tabs>
        <w:tab w:val="center" w:pos="4153"/>
        <w:tab w:val="right" w:pos="8306"/>
      </w:tabs>
      <w:snapToGrid w:val="0"/>
      <w:jc w:val="left"/>
    </w:pPr>
    <w:rPr>
      <w:sz w:val="18"/>
      <w:szCs w:val="18"/>
    </w:rPr>
  </w:style>
  <w:style w:type="paragraph" w:styleId="4">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FollowedHyperlink"/>
    <w:basedOn w:val="6"/>
    <w:qFormat/>
    <w:uiPriority w:val="0"/>
    <w:rPr>
      <w:color w:val="338DE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338DE6"/>
      <w:u w:val="none"/>
    </w:rPr>
  </w:style>
  <w:style w:type="character" w:styleId="13">
    <w:name w:val="HTML Code"/>
    <w:basedOn w:val="6"/>
    <w:qFormat/>
    <w:uiPriority w:val="0"/>
    <w:rPr>
      <w:rFonts w:hint="default" w:ascii="serif" w:hAnsi="serif" w:eastAsia="serif" w:cs="serif"/>
      <w:sz w:val="21"/>
      <w:szCs w:val="21"/>
    </w:rPr>
  </w:style>
  <w:style w:type="character" w:styleId="14">
    <w:name w:val="HTML Cite"/>
    <w:basedOn w:val="6"/>
    <w:qFormat/>
    <w:uiPriority w:val="0"/>
  </w:style>
  <w:style w:type="character" w:styleId="15">
    <w:name w:val="HTML Keyboard"/>
    <w:basedOn w:val="6"/>
    <w:qFormat/>
    <w:uiPriority w:val="0"/>
    <w:rPr>
      <w:rFonts w:ascii="serif" w:hAnsi="serif" w:eastAsia="serif" w:cs="serif"/>
      <w:sz w:val="21"/>
      <w:szCs w:val="21"/>
    </w:rPr>
  </w:style>
  <w:style w:type="character" w:styleId="16">
    <w:name w:val="HTML Sample"/>
    <w:basedOn w:val="6"/>
    <w:qFormat/>
    <w:uiPriority w:val="0"/>
    <w:rPr>
      <w:rFonts w:hint="default" w:ascii="serif" w:hAnsi="serif" w:eastAsia="serif" w:cs="serif"/>
      <w:sz w:val="21"/>
      <w:szCs w:val="21"/>
    </w:rPr>
  </w:style>
  <w:style w:type="character" w:customStyle="1" w:styleId="17">
    <w:name w:val="trumbowyg-msg-error1"/>
    <w:basedOn w:val="6"/>
    <w:qFormat/>
    <w:uiPriority w:val="0"/>
    <w:rPr>
      <w:color w:val="E74C3C"/>
    </w:rPr>
  </w:style>
  <w:style w:type="character" w:customStyle="1" w:styleId="18">
    <w:name w:val="fontborder"/>
    <w:basedOn w:val="6"/>
    <w:qFormat/>
    <w:uiPriority w:val="0"/>
    <w:rPr>
      <w:bdr w:val="single" w:color="000000" w:sz="4" w:space="0"/>
    </w:rPr>
  </w:style>
  <w:style w:type="character" w:customStyle="1" w:styleId="19">
    <w:name w:val="fontstrikethrough"/>
    <w:basedOn w:val="6"/>
    <w:qFormat/>
    <w:uiPriority w:val="0"/>
    <w:rPr>
      <w:strike/>
    </w:rPr>
  </w:style>
  <w:style w:type="character" w:customStyle="1" w:styleId="20">
    <w:name w:val="font11"/>
    <w:qFormat/>
    <w:uiPriority w:val="0"/>
    <w:rPr>
      <w:rFonts w:hint="eastAsia" w:ascii="宋体" w:hAnsi="宋体" w:eastAsia="宋体" w:cs="宋体"/>
      <w:color w:val="000000"/>
      <w:sz w:val="24"/>
      <w:szCs w:val="24"/>
      <w:u w:val="none"/>
    </w:rPr>
  </w:style>
  <w:style w:type="character" w:customStyle="1" w:styleId="21">
    <w:name w:val="trumbowyg-msg-error"/>
    <w:basedOn w:val="6"/>
    <w:qFormat/>
    <w:uiPriority w:val="0"/>
    <w:rPr>
      <w:color w:val="E74C3C"/>
    </w:rPr>
  </w:style>
  <w:style w:type="character" w:customStyle="1" w:styleId="22">
    <w:name w:val="页眉 Char"/>
    <w:basedOn w:val="6"/>
    <w:link w:val="4"/>
    <w:qFormat/>
    <w:uiPriority w:val="0"/>
    <w:rPr>
      <w:rFonts w:ascii="Times New Roman" w:hAnsi="Times New Roman" w:eastAsia="宋体" w:cs="Times New Roman"/>
      <w:kern w:val="2"/>
      <w:sz w:val="18"/>
      <w:szCs w:val="18"/>
    </w:rPr>
  </w:style>
  <w:style w:type="character" w:customStyle="1" w:styleId="23">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CF490-4A00-440C-A918-60545824624B}">
  <ds:schemaRefs/>
</ds:datastoreItem>
</file>

<file path=docProps/app.xml><?xml version="1.0" encoding="utf-8"?>
<Properties xmlns="http://schemas.openxmlformats.org/officeDocument/2006/extended-properties" xmlns:vt="http://schemas.openxmlformats.org/officeDocument/2006/docPropsVTypes">
  <Template>Normal</Template>
  <Pages>3</Pages>
  <Words>1279</Words>
  <Characters>1360</Characters>
  <Lines>11</Lines>
  <Paragraphs>3</Paragraphs>
  <TotalTime>4</TotalTime>
  <ScaleCrop>false</ScaleCrop>
  <LinksUpToDate>false</LinksUpToDate>
  <CharactersWithSpaces>1474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2022-06-21T00:10:00Z</dcterms:created>
  <dc:creator>Administrator</dc:creator>
  <cp:lastModifiedBy>贺贺儿</cp:lastModifiedBy>
  <dcterms:modified xsi:type="dcterms:W3CDTF">2022-06-21T02:37:59Z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A5CAF5531F8441ED88973D13B36343CB</vt:lpwstr>
  </property>
</Properties>
</file>